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E760AA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l-PL"/>
        </w:rPr>
      </w:pPr>
      <w:r>
        <w:rPr>
          <w:rFonts w:cstheme="minorHAnsi"/>
          <w:lang w:eastAsia="pl-PL"/>
        </w:rPr>
        <w:drawing>
          <wp:inline distT="0" distB="0" distL="0" distR="0">
            <wp:extent cx="1746250" cy="1045210"/>
            <wp:effectExtent l="0" t="0" r="6350" b="0"/>
            <wp:docPr id="208" name="Obraz 208" descr="PZBiS – PZBiS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Obraz 208" descr="PZBiS – PZBiS.co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46250" cy="104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1997DA">
      <w:pPr>
        <w:spacing w:after="0" w:line="240" w:lineRule="auto"/>
        <w:jc w:val="center"/>
        <w:rPr>
          <w:rFonts w:hint="default" w:ascii="Calibri" w:hAnsi="Calibri" w:eastAsia="Times New Roman" w:cs="Calibri"/>
          <w:b/>
          <w:color w:val="000000"/>
          <w:sz w:val="32"/>
          <w:szCs w:val="32"/>
          <w:lang w:val="en-US" w:eastAsia="pl-PL"/>
        </w:rPr>
      </w:pPr>
      <w:r>
        <w:rPr>
          <w:rFonts w:hint="default" w:ascii="Calibri" w:hAnsi="Calibri" w:eastAsia="Times New Roman" w:cs="Calibri"/>
          <w:b/>
          <w:color w:val="000000"/>
          <w:sz w:val="32"/>
          <w:szCs w:val="32"/>
          <w:lang w:val="en-US" w:eastAsia="pl-PL"/>
        </w:rPr>
        <w:t>REGULAMIN</w:t>
      </w:r>
    </w:p>
    <w:p w14:paraId="5CB720F6">
      <w:pPr>
        <w:spacing w:after="0" w:line="240" w:lineRule="auto"/>
        <w:jc w:val="center"/>
        <w:rPr>
          <w:rFonts w:hint="default" w:ascii="Calibri" w:hAnsi="Calibri" w:eastAsia="Times New Roman" w:cs="Calibri"/>
          <w:b/>
          <w:color w:val="000000"/>
          <w:sz w:val="32"/>
          <w:szCs w:val="32"/>
          <w:lang w:val="en-US" w:eastAsia="pl-PL"/>
        </w:rPr>
      </w:pPr>
      <w:r>
        <w:rPr>
          <w:rFonts w:hint="default" w:ascii="Calibri" w:hAnsi="Calibri" w:eastAsia="Times New Roman" w:cs="Calibri"/>
          <w:b/>
          <w:color w:val="000000"/>
          <w:sz w:val="32"/>
          <w:szCs w:val="32"/>
          <w:lang w:val="en-US" w:eastAsia="pl-PL"/>
        </w:rPr>
        <w:t>rozliczania kosztów podróży</w:t>
      </w:r>
    </w:p>
    <w:p w14:paraId="78226346">
      <w:pPr>
        <w:spacing w:after="0" w:line="240" w:lineRule="auto"/>
        <w:jc w:val="center"/>
        <w:rPr>
          <w:rFonts w:ascii="Calibri" w:hAnsi="Calibri" w:eastAsia="Times New Roman" w:cs="Calibri"/>
          <w:b/>
          <w:color w:val="000000"/>
          <w:sz w:val="32"/>
          <w:szCs w:val="32"/>
          <w:lang w:eastAsia="pl-PL"/>
        </w:rPr>
      </w:pPr>
      <w:r>
        <w:rPr>
          <w:rFonts w:ascii="Calibri" w:hAnsi="Calibri" w:eastAsia="Times New Roman" w:cs="Calibri"/>
          <w:b/>
          <w:color w:val="000000"/>
          <w:sz w:val="32"/>
          <w:szCs w:val="32"/>
          <w:lang w:eastAsia="pl-PL"/>
        </w:rPr>
        <w:t>Polski</w:t>
      </w:r>
      <w:r>
        <w:rPr>
          <w:rFonts w:hint="default" w:ascii="Calibri" w:hAnsi="Calibri" w:eastAsia="Times New Roman" w:cs="Calibri"/>
          <w:b/>
          <w:color w:val="000000"/>
          <w:sz w:val="32"/>
          <w:szCs w:val="32"/>
          <w:lang w:val="en-US" w:eastAsia="pl-PL"/>
        </w:rPr>
        <w:t>ego</w:t>
      </w:r>
      <w:r>
        <w:rPr>
          <w:rFonts w:ascii="Calibri" w:hAnsi="Calibri" w:eastAsia="Times New Roman" w:cs="Calibri"/>
          <w:b/>
          <w:color w:val="000000"/>
          <w:sz w:val="32"/>
          <w:szCs w:val="32"/>
          <w:lang w:eastAsia="pl-PL"/>
        </w:rPr>
        <w:t xml:space="preserve"> Zwią</w:t>
      </w:r>
      <w:r>
        <w:rPr>
          <w:rFonts w:hint="default" w:ascii="Calibri" w:hAnsi="Calibri" w:eastAsia="Times New Roman" w:cs="Calibri"/>
          <w:b/>
          <w:color w:val="000000"/>
          <w:sz w:val="32"/>
          <w:szCs w:val="32"/>
          <w:lang w:val="en-US" w:eastAsia="pl-PL"/>
        </w:rPr>
        <w:t>zku</w:t>
      </w:r>
      <w:r>
        <w:rPr>
          <w:rFonts w:ascii="Calibri" w:hAnsi="Calibri" w:eastAsia="Times New Roman" w:cs="Calibri"/>
          <w:b/>
          <w:color w:val="000000"/>
          <w:sz w:val="32"/>
          <w:szCs w:val="32"/>
          <w:lang w:eastAsia="pl-PL"/>
        </w:rPr>
        <w:t xml:space="preserve"> Bobslei i Skeletonu</w:t>
      </w:r>
    </w:p>
    <w:p w14:paraId="1EE01A71">
      <w:pPr>
        <w:spacing w:after="0" w:line="240" w:lineRule="auto"/>
        <w:jc w:val="center"/>
        <w:rPr>
          <w:rFonts w:ascii="Calibri" w:hAnsi="Calibri" w:eastAsia="Times New Roman" w:cs="Calibri"/>
          <w:b/>
          <w:color w:val="000000"/>
          <w:sz w:val="32"/>
          <w:szCs w:val="32"/>
          <w:lang w:eastAsia="pl-PL"/>
        </w:rPr>
      </w:pPr>
    </w:p>
    <w:p w14:paraId="077D612B">
      <w:pPr>
        <w:spacing w:after="0" w:line="240" w:lineRule="auto"/>
        <w:jc w:val="center"/>
        <w:rPr>
          <w:rFonts w:ascii="Calibri" w:hAnsi="Calibri" w:eastAsia="Times New Roman" w:cs="Calibri"/>
          <w:b/>
          <w:color w:val="000000"/>
          <w:sz w:val="32"/>
          <w:szCs w:val="32"/>
          <w:lang w:eastAsia="pl-PL"/>
        </w:rPr>
      </w:pPr>
    </w:p>
    <w:p w14:paraId="62FB18CA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pl-PL"/>
        </w:rPr>
      </w:pPr>
    </w:p>
    <w:p w14:paraId="2D99BF92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ascii="Calibri" w:hAnsi="Calibri" w:eastAsia="Times New Roman" w:cs="Calibri"/>
          <w:color w:val="000000"/>
          <w:sz w:val="24"/>
          <w:szCs w:val="24"/>
          <w:lang w:eastAsia="pl-PL"/>
        </w:rPr>
        <w:t xml:space="preserve">1. </w:t>
      </w:r>
      <w:r>
        <w:rPr>
          <w:rFonts w:ascii="Calibri" w:hAnsi="Calibri" w:eastAsia="Times New Roman" w:cs="Calibri"/>
          <w:b/>
          <w:bCs/>
          <w:color w:val="000000"/>
          <w:sz w:val="24"/>
          <w:szCs w:val="24"/>
          <w:lang w:eastAsia="pl-PL"/>
        </w:rPr>
        <w:t>Zwrot kosztów dojazdów</w:t>
      </w:r>
      <w:r>
        <w:rPr>
          <w:rFonts w:ascii="Calibri" w:hAnsi="Calibri" w:eastAsia="Times New Roman" w:cs="Calibri"/>
          <w:color w:val="000000"/>
          <w:sz w:val="24"/>
          <w:szCs w:val="24"/>
          <w:lang w:eastAsia="pl-PL"/>
        </w:rPr>
        <w:t xml:space="preserve"> odbywa się na podstawie: </w:t>
      </w:r>
    </w:p>
    <w:p w14:paraId="25DAA99C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ascii="Calibri" w:hAnsi="Calibri" w:eastAsia="Times New Roman" w:cs="Calibri"/>
          <w:color w:val="000000"/>
          <w:sz w:val="24"/>
          <w:szCs w:val="24"/>
          <w:lang w:eastAsia="pl-PL"/>
        </w:rPr>
        <w:tab/>
      </w:r>
      <w:r>
        <w:rPr>
          <w:rFonts w:ascii="Calibri" w:hAnsi="Calibri" w:eastAsia="Times New Roman" w:cs="Calibri"/>
          <w:color w:val="000000"/>
          <w:sz w:val="24"/>
          <w:szCs w:val="24"/>
          <w:lang w:eastAsia="pl-PL"/>
        </w:rPr>
        <w:t xml:space="preserve">a. biletu PKP lub faktury za bilet PKP- osobowy lub pośpieszny II klasa </w:t>
      </w:r>
    </w:p>
    <w:p w14:paraId="1FEE4366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ascii="Calibri" w:hAnsi="Calibri" w:eastAsia="Times New Roman" w:cs="Calibri"/>
          <w:color w:val="000000"/>
          <w:sz w:val="24"/>
          <w:szCs w:val="24"/>
          <w:lang w:eastAsia="pl-PL"/>
        </w:rPr>
        <w:tab/>
      </w:r>
      <w:r>
        <w:rPr>
          <w:rFonts w:ascii="Calibri" w:hAnsi="Calibri" w:eastAsia="Times New Roman" w:cs="Calibri"/>
          <w:color w:val="000000"/>
          <w:sz w:val="24"/>
          <w:szCs w:val="24"/>
          <w:lang w:eastAsia="pl-PL"/>
        </w:rPr>
        <w:t xml:space="preserve">b. w przypadku braku biletu PKP, ryczałtem na podstawie tabeli PKP stanowiącej </w:t>
      </w:r>
    </w:p>
    <w:p w14:paraId="6370F1B7">
      <w:pPr>
        <w:spacing w:after="0" w:line="240" w:lineRule="auto"/>
        <w:ind w:left="993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ascii="Calibri" w:hAnsi="Calibri" w:eastAsia="Times New Roman" w:cs="Calibri"/>
          <w:color w:val="000000"/>
          <w:sz w:val="24"/>
          <w:szCs w:val="24"/>
          <w:lang w:eastAsia="pl-PL"/>
        </w:rPr>
        <w:t xml:space="preserve">załącznik do regulaminu </w:t>
      </w:r>
    </w:p>
    <w:p w14:paraId="37260E78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ascii="Calibri" w:hAnsi="Calibri" w:eastAsia="Times New Roman" w:cs="Calibri"/>
          <w:color w:val="000000"/>
          <w:sz w:val="24"/>
          <w:szCs w:val="24"/>
          <w:lang w:eastAsia="pl-PL"/>
        </w:rPr>
        <w:tab/>
      </w:r>
      <w:r>
        <w:rPr>
          <w:rFonts w:ascii="Calibri" w:hAnsi="Calibri" w:eastAsia="Times New Roman" w:cs="Calibri"/>
          <w:color w:val="000000"/>
          <w:sz w:val="24"/>
          <w:szCs w:val="24"/>
          <w:lang w:eastAsia="pl-PL"/>
        </w:rPr>
        <w:t xml:space="preserve">c. biletu lotniczego, po zatwierdzeniu kosztu przez Sekretarza Generalnego </w:t>
      </w:r>
    </w:p>
    <w:p w14:paraId="25B97ED8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ascii="Calibri" w:hAnsi="Calibri" w:eastAsia="Times New Roman" w:cs="Calibri"/>
          <w:color w:val="000000"/>
          <w:sz w:val="24"/>
          <w:szCs w:val="24"/>
          <w:lang w:eastAsia="pl-PL"/>
        </w:rPr>
        <w:tab/>
      </w:r>
      <w:r>
        <w:rPr>
          <w:rFonts w:ascii="Calibri" w:hAnsi="Calibri" w:eastAsia="Times New Roman" w:cs="Calibri"/>
          <w:color w:val="000000"/>
          <w:sz w:val="24"/>
          <w:szCs w:val="24"/>
          <w:lang w:eastAsia="pl-PL"/>
        </w:rPr>
        <w:t xml:space="preserve">d. ryczałem z wykorzystaniem prywatnego samochodu, po uzyskaniu zgody </w:t>
      </w:r>
    </w:p>
    <w:p w14:paraId="17DFD501">
      <w:pPr>
        <w:spacing w:after="0" w:line="240" w:lineRule="auto"/>
        <w:ind w:left="993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ascii="Calibri" w:hAnsi="Calibri" w:eastAsia="Times New Roman" w:cs="Calibri"/>
          <w:color w:val="000000"/>
          <w:sz w:val="24"/>
          <w:szCs w:val="24"/>
          <w:lang w:eastAsia="pl-PL"/>
        </w:rPr>
        <w:t xml:space="preserve">Sekretarza Generalnego </w:t>
      </w:r>
    </w:p>
    <w:p w14:paraId="5AB6791F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ascii="Calibri" w:hAnsi="Calibri" w:eastAsia="Times New Roman" w:cs="Calibri"/>
          <w:color w:val="000000"/>
          <w:sz w:val="24"/>
          <w:szCs w:val="24"/>
          <w:lang w:eastAsia="pl-PL"/>
        </w:rPr>
        <w:tab/>
      </w:r>
      <w:r>
        <w:rPr>
          <w:rFonts w:ascii="Calibri" w:hAnsi="Calibri" w:eastAsia="Times New Roman" w:cs="Calibri"/>
          <w:color w:val="000000"/>
          <w:sz w:val="24"/>
          <w:szCs w:val="24"/>
          <w:lang w:eastAsia="pl-PL"/>
        </w:rPr>
        <w:t xml:space="preserve">e. w innych sposób po zatwierdzeniu przez Sekretarza Generalnego </w:t>
      </w:r>
    </w:p>
    <w:p w14:paraId="253B524C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ascii="Calibri" w:hAnsi="Calibri" w:eastAsia="Times New Roman" w:cs="Calibri"/>
          <w:color w:val="000000"/>
          <w:sz w:val="24"/>
          <w:szCs w:val="24"/>
          <w:lang w:eastAsia="pl-PL"/>
        </w:rPr>
        <w:t xml:space="preserve">2. </w:t>
      </w:r>
      <w:r>
        <w:rPr>
          <w:rFonts w:ascii="Calibri" w:hAnsi="Calibri" w:eastAsia="Times New Roman" w:cs="Calibri"/>
          <w:b/>
          <w:bCs/>
          <w:color w:val="000000"/>
          <w:sz w:val="24"/>
          <w:szCs w:val="24"/>
          <w:lang w:eastAsia="pl-PL"/>
        </w:rPr>
        <w:t>Rozliczanie podróży prywatnym samochodem</w:t>
      </w:r>
      <w:r>
        <w:rPr>
          <w:rFonts w:ascii="Calibri" w:hAnsi="Calibri" w:eastAsia="Times New Roman" w:cs="Calibri"/>
          <w:color w:val="000000"/>
          <w:sz w:val="24"/>
          <w:szCs w:val="24"/>
          <w:lang w:eastAsia="pl-PL"/>
        </w:rPr>
        <w:t xml:space="preserve"> odbywa się według zasady: </w:t>
      </w:r>
    </w:p>
    <w:p w14:paraId="6AF3F3B1">
      <w:pPr>
        <w:spacing w:after="0" w:line="240" w:lineRule="auto"/>
        <w:ind w:left="709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ascii="Calibri" w:hAnsi="Calibri" w:eastAsia="Times New Roman" w:cs="Calibri"/>
          <w:color w:val="000000"/>
          <w:sz w:val="24"/>
          <w:szCs w:val="24"/>
          <w:lang w:eastAsia="pl-PL"/>
        </w:rPr>
        <w:t xml:space="preserve">a. 1 osoba – 1,15 x 25% x 1 km </w:t>
      </w:r>
    </w:p>
    <w:p w14:paraId="4C15065F">
      <w:pPr>
        <w:spacing w:after="0" w:line="240" w:lineRule="auto"/>
        <w:ind w:left="709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ascii="Calibri" w:hAnsi="Calibri" w:eastAsia="Times New Roman" w:cs="Calibri"/>
          <w:color w:val="000000"/>
          <w:sz w:val="24"/>
          <w:szCs w:val="24"/>
          <w:lang w:eastAsia="pl-PL"/>
        </w:rPr>
        <w:t xml:space="preserve">b. 2 osoby – 1,15 x 50% x 1 km </w:t>
      </w:r>
    </w:p>
    <w:p w14:paraId="61A3F0AB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ascii="Calibri" w:hAnsi="Calibri" w:eastAsia="Times New Roman" w:cs="Calibri"/>
          <w:color w:val="000000"/>
          <w:sz w:val="24"/>
          <w:szCs w:val="24"/>
          <w:lang w:eastAsia="pl-PL"/>
        </w:rPr>
        <w:tab/>
      </w:r>
      <w:r>
        <w:rPr>
          <w:rFonts w:ascii="Calibri" w:hAnsi="Calibri" w:eastAsia="Times New Roman" w:cs="Calibri"/>
          <w:color w:val="000000"/>
          <w:sz w:val="24"/>
          <w:szCs w:val="24"/>
          <w:lang w:eastAsia="pl-PL"/>
        </w:rPr>
        <w:t xml:space="preserve">c. 3 osoby – 1,15 x 75% x 1 km </w:t>
      </w:r>
    </w:p>
    <w:p w14:paraId="4F0232F9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ascii="Calibri" w:hAnsi="Calibri" w:eastAsia="Times New Roman" w:cs="Calibri"/>
          <w:color w:val="000000"/>
          <w:sz w:val="24"/>
          <w:szCs w:val="24"/>
          <w:lang w:eastAsia="pl-PL"/>
        </w:rPr>
        <w:tab/>
      </w:r>
      <w:r>
        <w:rPr>
          <w:rFonts w:ascii="Calibri" w:hAnsi="Calibri" w:eastAsia="Times New Roman" w:cs="Calibri"/>
          <w:color w:val="000000"/>
          <w:sz w:val="24"/>
          <w:szCs w:val="24"/>
          <w:lang w:eastAsia="pl-PL"/>
        </w:rPr>
        <w:t xml:space="preserve">d. 4 osoby i więcej </w:t>
      </w:r>
      <w:r>
        <w:rPr>
          <w:rFonts w:hint="default" w:ascii="Calibri" w:hAnsi="Calibri" w:eastAsia="Times New Roman" w:cs="Calibri"/>
          <w:color w:val="000000"/>
          <w:sz w:val="24"/>
          <w:szCs w:val="24"/>
          <w:lang w:val="en-US" w:eastAsia="pl-PL"/>
        </w:rPr>
        <w:t xml:space="preserve">- </w:t>
      </w:r>
      <w:r>
        <w:rPr>
          <w:rFonts w:ascii="Calibri" w:hAnsi="Calibri" w:eastAsia="Times New Roman" w:cs="Calibri"/>
          <w:color w:val="000000"/>
          <w:sz w:val="24"/>
          <w:szCs w:val="24"/>
          <w:lang w:eastAsia="pl-PL"/>
        </w:rPr>
        <w:t xml:space="preserve">1,15 x 1 km </w:t>
      </w:r>
    </w:p>
    <w:p w14:paraId="310FAE8A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ascii="Calibri" w:hAnsi="Calibri" w:eastAsia="Times New Roman" w:cs="Calibri"/>
          <w:color w:val="000000"/>
          <w:sz w:val="24"/>
          <w:szCs w:val="24"/>
          <w:lang w:eastAsia="pl-PL"/>
        </w:rPr>
        <w:tab/>
      </w:r>
      <w:r>
        <w:rPr>
          <w:rFonts w:ascii="Calibri" w:hAnsi="Calibri" w:eastAsia="Times New Roman" w:cs="Calibri"/>
          <w:color w:val="000000"/>
          <w:sz w:val="24"/>
          <w:szCs w:val="24"/>
          <w:lang w:eastAsia="pl-PL"/>
        </w:rPr>
        <w:t xml:space="preserve">e. transportu sprzętu sportowego liczy się jak transport dodatkowej osoby lub </w:t>
      </w:r>
    </w:p>
    <w:p w14:paraId="1A24321D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ascii="Calibri" w:hAnsi="Calibri" w:eastAsia="Times New Roman" w:cs="Calibri"/>
          <w:color w:val="000000"/>
          <w:sz w:val="24"/>
          <w:szCs w:val="24"/>
          <w:lang w:eastAsia="pl-PL"/>
        </w:rPr>
        <w:tab/>
      </w:r>
      <w:r>
        <w:rPr>
          <w:rFonts w:ascii="Calibri" w:hAnsi="Calibri" w:eastAsia="Times New Roman" w:cs="Calibri"/>
          <w:color w:val="000000"/>
          <w:sz w:val="24"/>
          <w:szCs w:val="24"/>
          <w:lang w:eastAsia="pl-PL"/>
        </w:rPr>
        <w:t xml:space="preserve">    kilku dodatkowych osób w zależności od wielkości transportowanego sprzętu </w:t>
      </w:r>
    </w:p>
    <w:p w14:paraId="0A5629FE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ascii="Calibri" w:hAnsi="Calibri" w:eastAsia="Times New Roman" w:cs="Calibri"/>
          <w:color w:val="000000"/>
          <w:sz w:val="24"/>
          <w:szCs w:val="24"/>
          <w:lang w:eastAsia="pl-PL"/>
        </w:rPr>
        <w:t xml:space="preserve">3. </w:t>
      </w:r>
      <w:r>
        <w:rPr>
          <w:rFonts w:ascii="Calibri" w:hAnsi="Calibri" w:eastAsia="Times New Roman" w:cs="Calibri"/>
          <w:b/>
          <w:bCs/>
          <w:color w:val="000000"/>
          <w:sz w:val="24"/>
          <w:szCs w:val="24"/>
          <w:lang w:eastAsia="pl-PL"/>
        </w:rPr>
        <w:t>Uczestnikom akcji zagranicznych</w:t>
      </w:r>
      <w:r>
        <w:rPr>
          <w:rFonts w:ascii="Calibri" w:hAnsi="Calibri" w:eastAsia="Times New Roman" w:cs="Calibri"/>
          <w:color w:val="000000"/>
          <w:sz w:val="24"/>
          <w:szCs w:val="24"/>
          <w:lang w:eastAsia="pl-PL"/>
        </w:rPr>
        <w:t xml:space="preserve"> może być również wypłacana dieta ryczałtowa, </w:t>
      </w:r>
    </w:p>
    <w:p w14:paraId="078DEB5A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ascii="Calibri" w:hAnsi="Calibri" w:eastAsia="Times New Roman" w:cs="Calibri"/>
          <w:color w:val="000000"/>
          <w:sz w:val="24"/>
          <w:szCs w:val="24"/>
          <w:lang w:eastAsia="pl-PL"/>
        </w:rPr>
        <w:tab/>
      </w:r>
      <w:r>
        <w:rPr>
          <w:rFonts w:ascii="Calibri" w:hAnsi="Calibri" w:eastAsia="Times New Roman" w:cs="Calibri"/>
          <w:color w:val="000000"/>
          <w:sz w:val="24"/>
          <w:szCs w:val="24"/>
          <w:lang w:eastAsia="pl-PL"/>
        </w:rPr>
        <w:t xml:space="preserve">niezależna od zapewnionego wyżywienia w wysokości: </w:t>
      </w:r>
    </w:p>
    <w:p w14:paraId="65F31E6A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ascii="Calibri" w:hAnsi="Calibri" w:eastAsia="Times New Roman" w:cs="Calibri"/>
          <w:color w:val="000000"/>
          <w:sz w:val="24"/>
          <w:szCs w:val="24"/>
          <w:lang w:eastAsia="pl-PL"/>
        </w:rPr>
        <w:tab/>
      </w:r>
      <w:r>
        <w:rPr>
          <w:rFonts w:ascii="Calibri" w:hAnsi="Calibri" w:eastAsia="Times New Roman" w:cs="Calibri"/>
          <w:color w:val="000000"/>
          <w:sz w:val="24"/>
          <w:szCs w:val="24"/>
          <w:lang w:eastAsia="pl-PL"/>
        </w:rPr>
        <w:t xml:space="preserve">a. 25% diety - Kadra A </w:t>
      </w:r>
    </w:p>
    <w:p w14:paraId="06E41FC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ascii="Calibri" w:hAnsi="Calibri" w:eastAsia="Times New Roman" w:cs="Calibri"/>
          <w:color w:val="000000"/>
          <w:sz w:val="24"/>
          <w:szCs w:val="24"/>
          <w:lang w:eastAsia="pl-PL"/>
        </w:rPr>
        <w:tab/>
      </w:r>
      <w:r>
        <w:rPr>
          <w:rFonts w:ascii="Calibri" w:hAnsi="Calibri" w:eastAsia="Times New Roman" w:cs="Calibri"/>
          <w:color w:val="000000"/>
          <w:sz w:val="24"/>
          <w:szCs w:val="24"/>
          <w:lang w:eastAsia="pl-PL"/>
        </w:rPr>
        <w:t xml:space="preserve">b. 12,5% diety - Kadra B </w:t>
      </w:r>
    </w:p>
    <w:p w14:paraId="43B71F2D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ascii="Calibri" w:hAnsi="Calibri" w:eastAsia="Times New Roman" w:cs="Calibri"/>
          <w:color w:val="000000"/>
          <w:sz w:val="24"/>
          <w:szCs w:val="24"/>
          <w:lang w:eastAsia="pl-PL"/>
        </w:rPr>
        <w:t xml:space="preserve">4. </w:t>
      </w:r>
      <w:r>
        <w:rPr>
          <w:rFonts w:ascii="Calibri" w:hAnsi="Calibri" w:eastAsia="Times New Roman" w:cs="Calibri"/>
          <w:b/>
          <w:bCs/>
          <w:color w:val="000000"/>
          <w:sz w:val="24"/>
          <w:szCs w:val="24"/>
          <w:lang w:eastAsia="pl-PL"/>
        </w:rPr>
        <w:t>Zwrot kosztów wypłacanych ryczałtami</w:t>
      </w:r>
      <w:r>
        <w:rPr>
          <w:rFonts w:ascii="Calibri" w:hAnsi="Calibri" w:eastAsia="Times New Roman" w:cs="Calibri"/>
          <w:color w:val="000000"/>
          <w:sz w:val="24"/>
          <w:szCs w:val="24"/>
          <w:lang w:eastAsia="pl-PL"/>
        </w:rPr>
        <w:t xml:space="preserve"> może być pomniejszony lub wypłacany w inny </w:t>
      </w:r>
    </w:p>
    <w:p w14:paraId="3DE7DA93">
      <w:pPr>
        <w:ind w:firstLine="708" w:firstLineChars="0"/>
        <w:rPr>
          <w:rFonts w:ascii="Calibri" w:hAnsi="Calibri" w:eastAsia="Times New Roman" w:cs="Calibri"/>
          <w:color w:val="000000"/>
          <w:sz w:val="24"/>
          <w:szCs w:val="24"/>
          <w:lang w:eastAsia="pl-PL"/>
        </w:rPr>
      </w:pPr>
      <w:r>
        <w:rPr>
          <w:rFonts w:ascii="Calibri" w:hAnsi="Calibri" w:eastAsia="Times New Roman" w:cs="Calibri"/>
          <w:color w:val="000000"/>
          <w:sz w:val="24"/>
          <w:szCs w:val="24"/>
          <w:lang w:eastAsia="pl-PL"/>
        </w:rPr>
        <w:t>sposób w uzasadnionych sytuacjach.</w:t>
      </w:r>
    </w:p>
    <w:p w14:paraId="14E55669">
      <w:pPr>
        <w:ind w:firstLine="708" w:firstLineChars="0"/>
        <w:rPr>
          <w:rFonts w:ascii="Calibri" w:hAnsi="Calibri" w:eastAsia="Times New Roman" w:cs="Calibri"/>
          <w:color w:val="000000"/>
          <w:sz w:val="24"/>
          <w:szCs w:val="24"/>
          <w:lang w:eastAsia="pl-PL"/>
        </w:rPr>
      </w:pPr>
    </w:p>
    <w:p w14:paraId="2AC2FCD3">
      <w:pPr>
        <w:ind w:firstLine="708" w:firstLineChars="0"/>
        <w:rPr>
          <w:rFonts w:ascii="Calibri" w:hAnsi="Calibri" w:eastAsia="Times New Roman" w:cs="Calibri"/>
          <w:color w:val="000000"/>
          <w:sz w:val="24"/>
          <w:szCs w:val="24"/>
          <w:lang w:eastAsia="pl-PL"/>
        </w:rPr>
      </w:pPr>
    </w:p>
    <w:p w14:paraId="67E78F4C">
      <w:pPr>
        <w:ind w:firstLine="708" w:firstLineChars="0"/>
        <w:rPr>
          <w:rFonts w:ascii="Calibri" w:hAnsi="Calibri" w:eastAsia="Times New Roman" w:cs="Calibri"/>
          <w:color w:val="000000"/>
          <w:sz w:val="24"/>
          <w:szCs w:val="24"/>
          <w:lang w:eastAsia="pl-PL"/>
        </w:rPr>
      </w:pPr>
    </w:p>
    <w:p w14:paraId="335C018A">
      <w:pPr>
        <w:ind w:firstLine="708" w:firstLineChars="0"/>
        <w:rPr>
          <w:rFonts w:ascii="Calibri" w:hAnsi="Calibri" w:eastAsia="Times New Roman" w:cs="Calibri"/>
          <w:color w:val="000000"/>
          <w:sz w:val="24"/>
          <w:szCs w:val="24"/>
          <w:lang w:eastAsia="pl-PL"/>
        </w:rPr>
      </w:pPr>
    </w:p>
    <w:p w14:paraId="7179898C">
      <w:pPr>
        <w:ind w:firstLine="708" w:firstLineChars="0"/>
        <w:rPr>
          <w:rFonts w:ascii="Calibri" w:hAnsi="Calibri" w:eastAsia="Times New Roman" w:cs="Calibri"/>
          <w:color w:val="000000"/>
          <w:sz w:val="24"/>
          <w:szCs w:val="24"/>
          <w:lang w:eastAsia="pl-PL"/>
        </w:rPr>
      </w:pPr>
    </w:p>
    <w:p w14:paraId="3386E000">
      <w:pPr>
        <w:ind w:firstLine="708" w:firstLineChars="0"/>
        <w:rPr>
          <w:rFonts w:ascii="Calibri" w:hAnsi="Calibri" w:eastAsia="Times New Roman" w:cs="Calibri"/>
          <w:color w:val="000000"/>
          <w:sz w:val="24"/>
          <w:szCs w:val="24"/>
          <w:lang w:eastAsia="pl-PL"/>
        </w:rPr>
      </w:pPr>
    </w:p>
    <w:p w14:paraId="5E047EB0">
      <w:pPr>
        <w:ind w:firstLine="708" w:firstLineChars="0"/>
        <w:rPr>
          <w:rFonts w:ascii="Calibri" w:hAnsi="Calibri" w:eastAsia="Times New Roman" w:cs="Calibri"/>
          <w:color w:val="000000"/>
          <w:sz w:val="24"/>
          <w:szCs w:val="24"/>
          <w:lang w:eastAsia="pl-PL"/>
        </w:rPr>
      </w:pPr>
    </w:p>
    <w:p w14:paraId="5D7403DA">
      <w:pPr>
        <w:rPr>
          <w:rFonts w:hint="default" w:ascii="Calibri" w:hAnsi="Calibri" w:eastAsia="Times New Roman" w:cs="Calibri"/>
          <w:color w:val="000000"/>
          <w:sz w:val="20"/>
          <w:szCs w:val="20"/>
          <w:lang w:val="en-US" w:eastAsia="pl-PL"/>
        </w:rPr>
      </w:pPr>
      <w:bookmarkStart w:id="0" w:name="_GoBack"/>
      <w:bookmarkEnd w:id="0"/>
      <w:r>
        <w:rPr>
          <w:rFonts w:hint="default" w:ascii="Calibri" w:hAnsi="Calibri" w:eastAsia="Times New Roman" w:cs="Calibri"/>
          <w:color w:val="000000"/>
          <w:sz w:val="20"/>
          <w:szCs w:val="20"/>
          <w:lang w:val="en-US" w:eastAsia="pl-PL"/>
        </w:rPr>
        <w:t>Regulamin wchodzi w życie z dniem 20 lipca 2025 r.</w:t>
      </w: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EF6"/>
    <w:rsid w:val="00A25381"/>
    <w:rsid w:val="00A84EF6"/>
    <w:rsid w:val="27DB3472"/>
    <w:rsid w:val="474F2F00"/>
    <w:rsid w:val="4F736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pl-PL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173</Words>
  <Characters>1042</Characters>
  <Lines>8</Lines>
  <Paragraphs>2</Paragraphs>
  <TotalTime>7</TotalTime>
  <ScaleCrop>false</ScaleCrop>
  <LinksUpToDate>false</LinksUpToDate>
  <CharactersWithSpaces>1213</CharactersWithSpaces>
  <Application>WPS Office_12.2.0.22222_F1E327BC-269C-435d-A152-05C5408002CA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2025-07-22T09:30:00Z</dcterms:created>
  <dc:creator>Stępień Andrzej</dc:creator>
  <cp:lastModifiedBy>Andrzej Stępień</cp:lastModifiedBy>
  <dcterms:modified xsi:type="dcterms:W3CDTF">2025-07-25T08:38:19Z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1045-12.2.0.22222</vt:lpwstr>
  </property>
  <property fmtid="{D5CDD505-2E9C-101B-9397-08002B2CF9AE}" pid="3" name="ICV">
    <vt:lpwstr>36C3EEDBB1264DE997E0A6C2BD64BBC6_12</vt:lpwstr>
  </property>
</Properties>
</file>